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Motala kommunfullmäktige</w:t>
      </w:r>
    </w:p>
    <w:p>
      <w:pPr>
        <w:pStyle w:val="Heading1"/>
      </w:pPr>
      <w:r>
        <w:t xml:space="preserve">Fler bostäder i blandade upplåtelseformer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Motala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drabbar unga och nyanlända i Motala. Kommunen behöver fler hyresrätter och blandade områden för att stödja tillväxt enligt översiktsplanen 2022.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Motala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planera minst 300 nya bostäder per år fram till 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kräva minst 30 procent hyresrätter i nya detaljplaner.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korta planprocessen till max 18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bostadsproduktionens fördelning per upplåtelseform årligen.</w:t>
      </w:r>
    </w:p>
    <w:p>
      <w:pPr>
        <w:spacing w:before="360"/>
      </w:pPr>
    </w:p>
    <w:p>
      <w:r>
        <w:t xml:space="preserve">Motala,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Motala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2026-07-14T04:34:31.176Z</dcterms:created>
  <dcterms:modified xsi:type="dcterms:W3CDTF">2026-07-14T04:34:31.176Z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